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2" w:rsidRPr="005F755B" w:rsidRDefault="00F2112D">
      <w:pPr>
        <w:rPr>
          <w:b/>
          <w:sz w:val="44"/>
          <w:u w:val="single"/>
        </w:rPr>
      </w:pPr>
      <w:r w:rsidRPr="005F755B">
        <w:rPr>
          <w:b/>
          <w:sz w:val="44"/>
          <w:u w:val="single"/>
        </w:rPr>
        <w:t>Explanation by the Numbers:</w:t>
      </w:r>
    </w:p>
    <w:p w:rsidR="005F755B" w:rsidRDefault="005F755B">
      <w:pPr>
        <w:rPr>
          <w:b/>
        </w:rPr>
      </w:pPr>
    </w:p>
    <w:p w:rsidR="005F755B" w:rsidRPr="005F755B" w:rsidRDefault="005F755B">
      <w:pPr>
        <w:rPr>
          <w:b/>
        </w:rPr>
      </w:pPr>
      <w:r w:rsidRPr="005F755B">
        <w:rPr>
          <w:b/>
          <w:sz w:val="72"/>
        </w:rPr>
        <w:t>W</w:t>
      </w:r>
      <w:r w:rsidRPr="005F755B">
        <w:rPr>
          <w:b/>
        </w:rPr>
        <w:t>HY ARE THERE SO MANY RED NUMBERS?</w:t>
      </w:r>
    </w:p>
    <w:p w:rsidR="00F2112D" w:rsidRDefault="00F2112D">
      <w:r>
        <w:t>In shor</w:t>
      </w:r>
      <w:r w:rsidR="005F755B">
        <w:t>t, let’s look at what is going on in manufacturing and Health Care…</w:t>
      </w:r>
    </w:p>
    <w:p w:rsidR="00F2112D" w:rsidRDefault="00F2112D" w:rsidP="00E53DA1">
      <w:pPr>
        <w:spacing w:line="480" w:lineRule="auto"/>
      </w:pPr>
      <w:r>
        <w:t xml:space="preserve">Because historical data is taken into account to generate projections (5, 10, 15 year spans) industries that have historically lost jobs </w:t>
      </w:r>
      <w:r w:rsidR="005F755B">
        <w:t xml:space="preserve">because of cyclical probabilities </w:t>
      </w:r>
      <w:r>
        <w:t>will likely have bleaker projection estimates compar</w:t>
      </w:r>
      <w:r w:rsidR="005F755B">
        <w:t>ed to high-growth industry sectors</w:t>
      </w:r>
      <w:r>
        <w:t>. Even if growth has occurred recen</w:t>
      </w:r>
      <w:r w:rsidR="000B1DA1">
        <w:t xml:space="preserve">tly (last five </w:t>
      </w:r>
      <w:r>
        <w:t>years) job losses</w:t>
      </w:r>
      <w:r w:rsidR="000B1DA1">
        <w:t xml:space="preserve"> over 10 or 15 year periods has</w:t>
      </w:r>
      <w:r>
        <w:t xml:space="preserve"> dampen projected growth</w:t>
      </w:r>
      <w:r w:rsidR="005F755B">
        <w:t xml:space="preserve"> of the historic legacy industry sectors</w:t>
      </w:r>
      <w:r>
        <w:t>. And if you notice all the red numbers repo</w:t>
      </w:r>
      <w:r w:rsidR="000B1DA1">
        <w:t xml:space="preserve">rted in the </w:t>
      </w:r>
      <w:r w:rsidR="005F755B">
        <w:t xml:space="preserve">job </w:t>
      </w:r>
      <w:r w:rsidR="000B1DA1">
        <w:t>projections</w:t>
      </w:r>
      <w:r w:rsidR="005F755B">
        <w:t xml:space="preserve"> that is </w:t>
      </w:r>
      <w:r>
        <w:t>exactly wha</w:t>
      </w:r>
      <w:r w:rsidR="005F755B">
        <w:t>t is going on in Manufacturing. J</w:t>
      </w:r>
      <w:r>
        <w:t>ob losses were so heavy during the Great Recession that the projecti</w:t>
      </w:r>
      <w:r w:rsidR="005F755B">
        <w:t>on data is still being heavily influenced</w:t>
      </w:r>
      <w:r>
        <w:t xml:space="preserve"> </w:t>
      </w:r>
      <w:r w:rsidR="006A74EA">
        <w:t xml:space="preserve">by those massive layoffs. You need to remember that anytime a downturn in the economy </w:t>
      </w:r>
      <w:r w:rsidR="000B1DA1">
        <w:t xml:space="preserve">occurs there </w:t>
      </w:r>
      <w:r w:rsidR="00660C8A">
        <w:t>is a</w:t>
      </w:r>
      <w:r w:rsidR="006A74EA">
        <w:t xml:space="preserve"> </w:t>
      </w:r>
      <w:r w:rsidR="000B1DA1">
        <w:t>trickle-down</w:t>
      </w:r>
      <w:r w:rsidR="006A74EA">
        <w:t xml:space="preserve"> effect on not just the major manufactu</w:t>
      </w:r>
      <w:r w:rsidR="005F755B">
        <w:t>ring companies but also on the</w:t>
      </w:r>
      <w:r w:rsidR="006A74EA">
        <w:t xml:space="preserve"> entire supply chai</w:t>
      </w:r>
      <w:r w:rsidR="00CC7857">
        <w:t xml:space="preserve">n, </w:t>
      </w:r>
      <w:r w:rsidR="006A74EA">
        <w:t>companies that sup</w:t>
      </w:r>
      <w:r w:rsidR="00CC7857">
        <w:t>ply key components to the major manufacturers</w:t>
      </w:r>
      <w:r w:rsidR="005F755B">
        <w:t xml:space="preserve"> affect future employment numbers.</w:t>
      </w:r>
      <w:r w:rsidR="006A74EA">
        <w:t xml:space="preserve">  </w:t>
      </w:r>
    </w:p>
    <w:p w:rsidR="006A74EA" w:rsidRDefault="005F755B" w:rsidP="00E53DA1">
      <w:pPr>
        <w:spacing w:line="480" w:lineRule="auto"/>
      </w:pPr>
      <w:r>
        <w:t xml:space="preserve">This is a National issue </w:t>
      </w:r>
      <w:r w:rsidR="006A74EA">
        <w:t>not just unique to the No</w:t>
      </w:r>
      <w:r w:rsidR="00EE22E8">
        <w:t>rtheastern Prosperity Zone. The</w:t>
      </w:r>
      <w:r w:rsidR="006A74EA">
        <w:t xml:space="preserve"> graph below </w:t>
      </w:r>
      <w:r w:rsidR="00EE22E8">
        <w:t xml:space="preserve">will </w:t>
      </w:r>
      <w:r w:rsidR="006A74EA">
        <w:t>help</w:t>
      </w:r>
      <w:r w:rsidR="00EE22E8">
        <w:t xml:space="preserve"> to illustrate how </w:t>
      </w:r>
      <w:r w:rsidR="006A74EA">
        <w:t xml:space="preserve">all three regions, regardless of current growth in manufacturing, </w:t>
      </w:r>
      <w:r w:rsidR="0056025C">
        <w:t xml:space="preserve">were </w:t>
      </w:r>
      <w:r w:rsidR="006A74EA">
        <w:t>trend</w:t>
      </w:r>
      <w:r w:rsidR="0056025C">
        <w:t>ing</w:t>
      </w:r>
      <w:r w:rsidR="006A74EA">
        <w:t xml:space="preserve"> downward post -2019. </w:t>
      </w:r>
    </w:p>
    <w:p w:rsidR="008A56C2" w:rsidRDefault="008A56C2">
      <w:r>
        <w:rPr>
          <w:noProof/>
        </w:rPr>
        <w:lastRenderedPageBreak/>
        <w:drawing>
          <wp:inline distT="0" distB="0" distL="0" distR="0">
            <wp:extent cx="6393680" cy="4536374"/>
            <wp:effectExtent l="0" t="0" r="762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4432" cy="4544003"/>
                    </a:xfrm>
                    <a:prstGeom prst="rect">
                      <a:avLst/>
                    </a:prstGeom>
                    <a:noFill/>
                    <a:ln>
                      <a:noFill/>
                    </a:ln>
                  </pic:spPr>
                </pic:pic>
              </a:graphicData>
            </a:graphic>
          </wp:inline>
        </w:drawing>
      </w:r>
    </w:p>
    <w:p w:rsidR="008A56C2" w:rsidRDefault="008A56C2">
      <w:pPr>
        <w:rPr>
          <w:u w:val="single"/>
        </w:rPr>
      </w:pPr>
      <w:r>
        <w:rPr>
          <w:u w:val="single"/>
        </w:rPr>
        <w:br w:type="page"/>
      </w:r>
    </w:p>
    <w:p w:rsidR="008A56C2" w:rsidRPr="0009609F" w:rsidRDefault="008A56C2" w:rsidP="008A56C2">
      <w:pPr>
        <w:rPr>
          <w:b/>
          <w:sz w:val="24"/>
          <w:u w:val="single"/>
        </w:rPr>
      </w:pPr>
      <w:r w:rsidRPr="0009609F">
        <w:rPr>
          <w:b/>
          <w:sz w:val="24"/>
          <w:u w:val="single"/>
        </w:rPr>
        <w:lastRenderedPageBreak/>
        <w:t>All hope is not lost for manufacturing!</w:t>
      </w:r>
    </w:p>
    <w:p w:rsidR="008A56C2" w:rsidRPr="008A56C2" w:rsidRDefault="008A56C2" w:rsidP="00E53DA1">
      <w:pPr>
        <w:spacing w:line="480" w:lineRule="auto"/>
      </w:pPr>
      <w:r>
        <w:t>To get the full picture for Manufacturing digging a little deeper beyond the broad sector will help us better understand what’s going on. The table below illustrates where the job losses in manu</w:t>
      </w:r>
      <w:r w:rsidR="0009609F">
        <w:t>facturing have occurred</w:t>
      </w:r>
      <w:r>
        <w:t xml:space="preserve"> form 2004-2019 in the Northeastern</w:t>
      </w:r>
      <w:r w:rsidR="00D82BC7">
        <w:t xml:space="preserve"> Economic Prosperity Zone. </w:t>
      </w:r>
      <w:r>
        <w:t xml:space="preserve"> </w:t>
      </w:r>
    </w:p>
    <w:tbl>
      <w:tblPr>
        <w:tblW w:w="8320" w:type="dxa"/>
        <w:tblCellMar>
          <w:left w:w="0" w:type="dxa"/>
          <w:right w:w="0" w:type="dxa"/>
        </w:tblCellMar>
        <w:tblLook w:val="04A0" w:firstRow="1" w:lastRow="0" w:firstColumn="1" w:lastColumn="0" w:noHBand="0" w:noVBand="1"/>
      </w:tblPr>
      <w:tblGrid>
        <w:gridCol w:w="960"/>
        <w:gridCol w:w="3520"/>
        <w:gridCol w:w="960"/>
        <w:gridCol w:w="960"/>
        <w:gridCol w:w="960"/>
        <w:gridCol w:w="960"/>
      </w:tblGrid>
      <w:tr w:rsidR="008A56C2" w:rsidTr="008A56C2">
        <w:trPr>
          <w:trHeight w:val="750"/>
        </w:trPr>
        <w:tc>
          <w:tcPr>
            <w:tcW w:w="960" w:type="dxa"/>
            <w:shd w:val="clear" w:color="auto" w:fill="204354"/>
            <w:tcMar>
              <w:top w:w="15" w:type="dxa"/>
              <w:left w:w="15" w:type="dxa"/>
              <w:bottom w:w="0" w:type="dxa"/>
              <w:right w:w="15" w:type="dxa"/>
            </w:tcMar>
            <w:vAlign w:val="center"/>
            <w:hideMark/>
          </w:tcPr>
          <w:p w:rsidR="008A56C2" w:rsidRDefault="008A56C2">
            <w:pPr>
              <w:rPr>
                <w:rFonts w:ascii="Arial" w:hAnsi="Arial" w:cs="Arial"/>
                <w:color w:val="FFFFFF"/>
                <w:sz w:val="20"/>
                <w:szCs w:val="20"/>
              </w:rPr>
            </w:pPr>
            <w:r>
              <w:rPr>
                <w:rFonts w:ascii="Arial" w:hAnsi="Arial" w:cs="Arial"/>
                <w:color w:val="FFFFFF"/>
                <w:sz w:val="20"/>
                <w:szCs w:val="20"/>
              </w:rPr>
              <w:t>NAICS</w:t>
            </w:r>
          </w:p>
        </w:tc>
        <w:tc>
          <w:tcPr>
            <w:tcW w:w="3520" w:type="dxa"/>
            <w:shd w:val="clear" w:color="auto" w:fill="204354"/>
            <w:tcMar>
              <w:top w:w="15" w:type="dxa"/>
              <w:left w:w="15" w:type="dxa"/>
              <w:bottom w:w="0" w:type="dxa"/>
              <w:right w:w="15" w:type="dxa"/>
            </w:tcMar>
            <w:vAlign w:val="center"/>
            <w:hideMark/>
          </w:tcPr>
          <w:p w:rsidR="008A56C2" w:rsidRDefault="008A56C2">
            <w:pPr>
              <w:rPr>
                <w:rFonts w:ascii="Arial" w:hAnsi="Arial" w:cs="Arial"/>
                <w:color w:val="FFFFFF"/>
                <w:sz w:val="20"/>
                <w:szCs w:val="20"/>
              </w:rPr>
            </w:pPr>
            <w:r>
              <w:rPr>
                <w:rFonts w:ascii="Arial" w:hAnsi="Arial" w:cs="Arial"/>
                <w:color w:val="FFFFFF"/>
                <w:sz w:val="20"/>
                <w:szCs w:val="20"/>
              </w:rPr>
              <w:t>Description</w:t>
            </w:r>
          </w:p>
        </w:tc>
        <w:tc>
          <w:tcPr>
            <w:tcW w:w="960" w:type="dxa"/>
            <w:shd w:val="clear" w:color="auto" w:fill="204354"/>
            <w:tcMar>
              <w:top w:w="15" w:type="dxa"/>
              <w:left w:w="15" w:type="dxa"/>
              <w:bottom w:w="0" w:type="dxa"/>
              <w:right w:w="15" w:type="dxa"/>
            </w:tcMar>
            <w:vAlign w:val="center"/>
            <w:hideMark/>
          </w:tcPr>
          <w:p w:rsidR="008A56C2" w:rsidRDefault="008A56C2">
            <w:pPr>
              <w:jc w:val="right"/>
              <w:rPr>
                <w:rFonts w:ascii="Arial" w:hAnsi="Arial" w:cs="Arial"/>
                <w:color w:val="FFFFFF"/>
                <w:sz w:val="20"/>
                <w:szCs w:val="20"/>
              </w:rPr>
            </w:pPr>
            <w:r>
              <w:rPr>
                <w:rFonts w:ascii="Arial" w:hAnsi="Arial" w:cs="Arial"/>
                <w:color w:val="FFFFFF"/>
                <w:sz w:val="20"/>
                <w:szCs w:val="20"/>
              </w:rPr>
              <w:t>2004 Jobs</w:t>
            </w:r>
          </w:p>
        </w:tc>
        <w:tc>
          <w:tcPr>
            <w:tcW w:w="960" w:type="dxa"/>
            <w:shd w:val="clear" w:color="auto" w:fill="204354"/>
            <w:tcMar>
              <w:top w:w="15" w:type="dxa"/>
              <w:left w:w="15" w:type="dxa"/>
              <w:bottom w:w="0" w:type="dxa"/>
              <w:right w:w="15" w:type="dxa"/>
            </w:tcMar>
            <w:vAlign w:val="center"/>
            <w:hideMark/>
          </w:tcPr>
          <w:p w:rsidR="008A56C2" w:rsidRDefault="008A56C2">
            <w:pPr>
              <w:jc w:val="right"/>
              <w:rPr>
                <w:rFonts w:ascii="Arial" w:hAnsi="Arial" w:cs="Arial"/>
                <w:color w:val="FFFFFF"/>
                <w:sz w:val="20"/>
                <w:szCs w:val="20"/>
              </w:rPr>
            </w:pPr>
            <w:r>
              <w:rPr>
                <w:rFonts w:ascii="Arial" w:hAnsi="Arial" w:cs="Arial"/>
                <w:color w:val="FFFFFF"/>
                <w:sz w:val="20"/>
                <w:szCs w:val="20"/>
              </w:rPr>
              <w:t>2019 Jobs</w:t>
            </w:r>
          </w:p>
        </w:tc>
        <w:tc>
          <w:tcPr>
            <w:tcW w:w="960" w:type="dxa"/>
            <w:shd w:val="clear" w:color="auto" w:fill="204354"/>
            <w:tcMar>
              <w:top w:w="15" w:type="dxa"/>
              <w:left w:w="15" w:type="dxa"/>
              <w:bottom w:w="0" w:type="dxa"/>
              <w:right w:w="15" w:type="dxa"/>
            </w:tcMar>
            <w:vAlign w:val="center"/>
            <w:hideMark/>
          </w:tcPr>
          <w:p w:rsidR="008A56C2" w:rsidRDefault="008A56C2">
            <w:pPr>
              <w:jc w:val="right"/>
              <w:rPr>
                <w:rFonts w:ascii="Arial" w:hAnsi="Arial" w:cs="Arial"/>
                <w:color w:val="FFFFFF"/>
                <w:sz w:val="20"/>
                <w:szCs w:val="20"/>
              </w:rPr>
            </w:pPr>
            <w:r>
              <w:rPr>
                <w:rFonts w:ascii="Arial" w:hAnsi="Arial" w:cs="Arial"/>
                <w:color w:val="FFFFFF"/>
                <w:sz w:val="20"/>
                <w:szCs w:val="20"/>
              </w:rPr>
              <w:t>2004 - 2019 Change</w:t>
            </w:r>
          </w:p>
        </w:tc>
        <w:tc>
          <w:tcPr>
            <w:tcW w:w="960" w:type="dxa"/>
            <w:shd w:val="clear" w:color="auto" w:fill="204354"/>
            <w:tcMar>
              <w:top w:w="15" w:type="dxa"/>
              <w:left w:w="15" w:type="dxa"/>
              <w:bottom w:w="0" w:type="dxa"/>
              <w:right w:w="15" w:type="dxa"/>
            </w:tcMar>
            <w:vAlign w:val="center"/>
            <w:hideMark/>
          </w:tcPr>
          <w:p w:rsidR="008A56C2" w:rsidRDefault="008A56C2">
            <w:pPr>
              <w:jc w:val="right"/>
              <w:rPr>
                <w:rFonts w:ascii="Arial" w:hAnsi="Arial" w:cs="Arial"/>
                <w:color w:val="FFFFFF"/>
                <w:sz w:val="20"/>
                <w:szCs w:val="20"/>
              </w:rPr>
            </w:pPr>
            <w:r>
              <w:rPr>
                <w:rFonts w:ascii="Arial" w:hAnsi="Arial" w:cs="Arial"/>
                <w:color w:val="FFFFFF"/>
                <w:sz w:val="20"/>
                <w:szCs w:val="20"/>
              </w:rPr>
              <w:t>2004 - 2019 % Change</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339994</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Broom, Brush, and Mop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177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(177)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(100%)</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311412</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Frozen Specialty Food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197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(197)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(100%)</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313310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Textile and Fabric Finishing 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492</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293</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(199)</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(40%)</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322121</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Paper (except Newsprint) 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620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376</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(244)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(39%)</w:t>
            </w:r>
          </w:p>
        </w:tc>
      </w:tr>
      <w:tr w:rsidR="008A56C2" w:rsidTr="008A56C2">
        <w:trPr>
          <w:trHeight w:val="50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336310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Motor Vehicle Gasoline Engine and Engine Parts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513</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228</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(285)</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(56%)</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332313</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Plate Work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343</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42</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(301)</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(88%)</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321113</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Sawmills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1,310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971</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(339)</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(26%)</w:t>
            </w:r>
          </w:p>
        </w:tc>
      </w:tr>
      <w:tr w:rsidR="008A56C2" w:rsidTr="008A56C2">
        <w:trPr>
          <w:trHeight w:val="7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336330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Motor Vehicle Steering and Suspension Components (except Spring)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344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(344)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(100%)</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325312</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Phosphatic Fertilizer Manufacturing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1,048</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684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(364)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(35%)</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336612</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Boat Building</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1,370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974</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(396)</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(29%)</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313110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Fiber, Yarn, and Thread 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607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157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(450)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(74%)</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322130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Paperboard 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598</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128</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(470)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(79%)</w:t>
            </w:r>
          </w:p>
        </w:tc>
      </w:tr>
      <w:tr w:rsidR="008A56C2" w:rsidTr="008A56C2">
        <w:trPr>
          <w:trHeight w:val="250"/>
        </w:trPr>
        <w:tc>
          <w:tcPr>
            <w:tcW w:w="0" w:type="auto"/>
            <w:noWrap/>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313240</w:t>
            </w:r>
          </w:p>
        </w:tc>
        <w:tc>
          <w:tcPr>
            <w:tcW w:w="3520" w:type="dxa"/>
            <w:tcMar>
              <w:top w:w="15" w:type="dxa"/>
              <w:left w:w="15" w:type="dxa"/>
              <w:bottom w:w="0" w:type="dxa"/>
              <w:right w:w="15" w:type="dxa"/>
            </w:tcMar>
            <w:vAlign w:val="center"/>
            <w:hideMark/>
          </w:tcPr>
          <w:p w:rsidR="008A56C2" w:rsidRDefault="008A56C2">
            <w:pPr>
              <w:rPr>
                <w:rFonts w:ascii="Arial" w:hAnsi="Arial" w:cs="Arial"/>
                <w:sz w:val="20"/>
                <w:szCs w:val="20"/>
              </w:rPr>
            </w:pPr>
            <w:r>
              <w:rPr>
                <w:rFonts w:ascii="Arial" w:hAnsi="Arial" w:cs="Arial"/>
                <w:sz w:val="20"/>
                <w:szCs w:val="20"/>
              </w:rPr>
              <w:t>Knit Fabric Mills</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1,227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(1,227)</w:t>
            </w:r>
          </w:p>
        </w:tc>
        <w:tc>
          <w:tcPr>
            <w:tcW w:w="0" w:type="auto"/>
            <w:noWrap/>
            <w:tcMar>
              <w:top w:w="15" w:type="dxa"/>
              <w:left w:w="15" w:type="dxa"/>
              <w:bottom w:w="0" w:type="dxa"/>
              <w:right w:w="15" w:type="dxa"/>
            </w:tcMar>
            <w:vAlign w:val="center"/>
            <w:hideMark/>
          </w:tcPr>
          <w:p w:rsidR="008A56C2" w:rsidRDefault="008A56C2">
            <w:pPr>
              <w:jc w:val="right"/>
              <w:rPr>
                <w:rFonts w:ascii="Arial" w:hAnsi="Arial" w:cs="Arial"/>
                <w:sz w:val="20"/>
                <w:szCs w:val="20"/>
              </w:rPr>
            </w:pPr>
            <w:r>
              <w:rPr>
                <w:rFonts w:ascii="Arial" w:hAnsi="Arial" w:cs="Arial"/>
                <w:color w:val="FF0000"/>
                <w:sz w:val="20"/>
                <w:szCs w:val="20"/>
              </w:rPr>
              <w:t> (100%)</w:t>
            </w:r>
          </w:p>
        </w:tc>
      </w:tr>
    </w:tbl>
    <w:p w:rsidR="008A56C2" w:rsidRDefault="008A56C2" w:rsidP="008A56C2">
      <w:pPr>
        <w:rPr>
          <w:rFonts w:ascii="Times New Roman" w:hAnsi="Times New Roman" w:cs="Times New Roman"/>
          <w:sz w:val="24"/>
          <w:szCs w:val="24"/>
        </w:rPr>
      </w:pPr>
    </w:p>
    <w:p w:rsidR="008A56C2" w:rsidRDefault="008A56C2">
      <w:pPr>
        <w:rPr>
          <w:rFonts w:ascii="Times New Roman" w:hAnsi="Times New Roman" w:cs="Times New Roman"/>
          <w:sz w:val="24"/>
          <w:szCs w:val="24"/>
        </w:rPr>
      </w:pPr>
      <w:r>
        <w:rPr>
          <w:rFonts w:ascii="Times New Roman" w:hAnsi="Times New Roman" w:cs="Times New Roman"/>
          <w:sz w:val="24"/>
          <w:szCs w:val="24"/>
        </w:rPr>
        <w:br w:type="page"/>
      </w:r>
    </w:p>
    <w:p w:rsidR="008A56C2" w:rsidRDefault="0009609F" w:rsidP="00E53D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w:t>
      </w:r>
      <w:r w:rsidR="008A56C2">
        <w:rPr>
          <w:rFonts w:ascii="Times New Roman" w:hAnsi="Times New Roman" w:cs="Times New Roman"/>
          <w:sz w:val="24"/>
          <w:szCs w:val="24"/>
        </w:rPr>
        <w:t xml:space="preserve"> seem</w:t>
      </w:r>
      <w:r>
        <w:rPr>
          <w:rFonts w:ascii="Times New Roman" w:hAnsi="Times New Roman" w:cs="Times New Roman"/>
          <w:sz w:val="24"/>
          <w:szCs w:val="24"/>
        </w:rPr>
        <w:t>s</w:t>
      </w:r>
      <w:r w:rsidR="008A56C2">
        <w:rPr>
          <w:rFonts w:ascii="Times New Roman" w:hAnsi="Times New Roman" w:cs="Times New Roman"/>
          <w:sz w:val="24"/>
          <w:szCs w:val="24"/>
        </w:rPr>
        <w:t xml:space="preserve"> to be more </w:t>
      </w:r>
      <w:r w:rsidR="008A56C2" w:rsidRPr="0009609F">
        <w:rPr>
          <w:rFonts w:ascii="Times New Roman" w:hAnsi="Times New Roman" w:cs="Times New Roman"/>
          <w:sz w:val="24"/>
          <w:szCs w:val="24"/>
          <w:u w:val="single"/>
        </w:rPr>
        <w:t>traditional or legacy industries</w:t>
      </w:r>
      <w:r w:rsidR="008A56C2">
        <w:rPr>
          <w:rFonts w:ascii="Times New Roman" w:hAnsi="Times New Roman" w:cs="Times New Roman"/>
          <w:sz w:val="24"/>
          <w:szCs w:val="24"/>
        </w:rPr>
        <w:t xml:space="preserve"> that have suffered tremendously </w:t>
      </w:r>
      <w:r>
        <w:rPr>
          <w:rFonts w:ascii="Times New Roman" w:hAnsi="Times New Roman" w:cs="Times New Roman"/>
          <w:sz w:val="24"/>
          <w:szCs w:val="24"/>
        </w:rPr>
        <w:t>in the Great Recession not only in our</w:t>
      </w:r>
      <w:r w:rsidR="008A56C2">
        <w:rPr>
          <w:rFonts w:ascii="Times New Roman" w:hAnsi="Times New Roman" w:cs="Times New Roman"/>
          <w:sz w:val="24"/>
          <w:szCs w:val="24"/>
        </w:rPr>
        <w:t xml:space="preserve"> region but across the country</w:t>
      </w:r>
      <w:r>
        <w:rPr>
          <w:rFonts w:ascii="Times New Roman" w:hAnsi="Times New Roman" w:cs="Times New Roman"/>
          <w:sz w:val="24"/>
          <w:szCs w:val="24"/>
        </w:rPr>
        <w:t xml:space="preserve">. </w:t>
      </w:r>
      <w:r w:rsidR="008A56C2">
        <w:rPr>
          <w:rFonts w:ascii="Times New Roman" w:hAnsi="Times New Roman" w:cs="Times New Roman"/>
          <w:sz w:val="24"/>
          <w:szCs w:val="24"/>
        </w:rPr>
        <w:t xml:space="preserve">Some of these </w:t>
      </w:r>
      <w:r>
        <w:rPr>
          <w:rFonts w:ascii="Times New Roman" w:hAnsi="Times New Roman" w:cs="Times New Roman"/>
          <w:sz w:val="24"/>
          <w:szCs w:val="24"/>
        </w:rPr>
        <w:t xml:space="preserve">sectors </w:t>
      </w:r>
      <w:r w:rsidR="008A56C2">
        <w:rPr>
          <w:rFonts w:ascii="Times New Roman" w:hAnsi="Times New Roman" w:cs="Times New Roman"/>
          <w:sz w:val="24"/>
          <w:szCs w:val="24"/>
        </w:rPr>
        <w:t xml:space="preserve">no longer have </w:t>
      </w:r>
      <w:r w:rsidR="00642E25">
        <w:rPr>
          <w:rFonts w:ascii="Times New Roman" w:hAnsi="Times New Roman" w:cs="Times New Roman"/>
          <w:sz w:val="24"/>
          <w:szCs w:val="24"/>
        </w:rPr>
        <w:t>employment! For instance</w:t>
      </w:r>
      <w:r w:rsidR="00660C8A">
        <w:rPr>
          <w:rFonts w:ascii="Times New Roman" w:hAnsi="Times New Roman" w:cs="Times New Roman"/>
          <w:sz w:val="24"/>
          <w:szCs w:val="24"/>
        </w:rPr>
        <w:t>,</w:t>
      </w:r>
      <w:r>
        <w:rPr>
          <w:rFonts w:ascii="Times New Roman" w:hAnsi="Times New Roman" w:cs="Times New Roman"/>
          <w:sz w:val="24"/>
          <w:szCs w:val="24"/>
        </w:rPr>
        <w:t xml:space="preserve"> look at a</w:t>
      </w:r>
      <w:r w:rsidR="00642E25">
        <w:rPr>
          <w:rFonts w:ascii="Times New Roman" w:hAnsi="Times New Roman" w:cs="Times New Roman"/>
          <w:sz w:val="24"/>
          <w:szCs w:val="24"/>
        </w:rPr>
        <w:t xml:space="preserve"> list of manufacturers </w:t>
      </w:r>
      <w:r>
        <w:rPr>
          <w:rFonts w:ascii="Times New Roman" w:hAnsi="Times New Roman" w:cs="Times New Roman"/>
          <w:sz w:val="24"/>
          <w:szCs w:val="24"/>
        </w:rPr>
        <w:t xml:space="preserve">in your area </w:t>
      </w:r>
      <w:r w:rsidR="00642E25">
        <w:rPr>
          <w:rFonts w:ascii="Times New Roman" w:hAnsi="Times New Roman" w:cs="Times New Roman"/>
          <w:sz w:val="24"/>
          <w:szCs w:val="24"/>
        </w:rPr>
        <w:t xml:space="preserve">and notice the businesses that may have been leading employers </w:t>
      </w:r>
      <w:r>
        <w:rPr>
          <w:rFonts w:ascii="Times New Roman" w:hAnsi="Times New Roman" w:cs="Times New Roman"/>
          <w:sz w:val="24"/>
          <w:szCs w:val="24"/>
        </w:rPr>
        <w:t>who are no longer in business</w:t>
      </w:r>
      <w:r w:rsidR="00642E25">
        <w:rPr>
          <w:rFonts w:ascii="Times New Roman" w:hAnsi="Times New Roman" w:cs="Times New Roman"/>
          <w:sz w:val="24"/>
          <w:szCs w:val="24"/>
        </w:rPr>
        <w:t xml:space="preserve">. So to emphasize why the current numbers do not reflect future opportunity in </w:t>
      </w:r>
      <w:r>
        <w:rPr>
          <w:rFonts w:ascii="Times New Roman" w:hAnsi="Times New Roman" w:cs="Times New Roman"/>
          <w:sz w:val="24"/>
          <w:szCs w:val="24"/>
        </w:rPr>
        <w:t xml:space="preserve">our legacy industries and </w:t>
      </w:r>
      <w:r w:rsidR="00642E25">
        <w:rPr>
          <w:rFonts w:ascii="Times New Roman" w:hAnsi="Times New Roman" w:cs="Times New Roman"/>
          <w:sz w:val="24"/>
          <w:szCs w:val="24"/>
        </w:rPr>
        <w:t>what we are seeing now is due to the massive</w:t>
      </w:r>
      <w:r>
        <w:rPr>
          <w:rFonts w:ascii="Times New Roman" w:hAnsi="Times New Roman" w:cs="Times New Roman"/>
          <w:sz w:val="24"/>
          <w:szCs w:val="24"/>
        </w:rPr>
        <w:t xml:space="preserve"> job losses reflected in the manufacturing data, and </w:t>
      </w:r>
      <w:r w:rsidR="00642E25">
        <w:rPr>
          <w:rFonts w:ascii="Times New Roman" w:hAnsi="Times New Roman" w:cs="Times New Roman"/>
          <w:sz w:val="24"/>
          <w:szCs w:val="24"/>
        </w:rPr>
        <w:t>play an important role in our most r</w:t>
      </w:r>
      <w:r>
        <w:rPr>
          <w:rFonts w:ascii="Times New Roman" w:hAnsi="Times New Roman" w:cs="Times New Roman"/>
          <w:sz w:val="24"/>
          <w:szCs w:val="24"/>
        </w:rPr>
        <w:t xml:space="preserve">ecent occupational projections, as reflected by all the </w:t>
      </w:r>
      <w:r w:rsidRPr="0009609F">
        <w:rPr>
          <w:rFonts w:ascii="Times New Roman" w:hAnsi="Times New Roman" w:cs="Times New Roman"/>
          <w:b/>
          <w:sz w:val="24"/>
          <w:szCs w:val="24"/>
        </w:rPr>
        <w:t>RED</w:t>
      </w:r>
      <w:r>
        <w:rPr>
          <w:rFonts w:ascii="Times New Roman" w:hAnsi="Times New Roman" w:cs="Times New Roman"/>
          <w:sz w:val="24"/>
          <w:szCs w:val="24"/>
        </w:rPr>
        <w:t xml:space="preserve"> numbers. </w:t>
      </w:r>
    </w:p>
    <w:p w:rsidR="00642E25" w:rsidRDefault="00642E25" w:rsidP="00E53DA1">
      <w:pPr>
        <w:spacing w:line="480" w:lineRule="auto"/>
        <w:rPr>
          <w:rFonts w:ascii="Times New Roman" w:hAnsi="Times New Roman" w:cs="Times New Roman"/>
          <w:sz w:val="24"/>
          <w:szCs w:val="24"/>
        </w:rPr>
      </w:pPr>
      <w:r w:rsidRPr="0009609F">
        <w:rPr>
          <w:rFonts w:ascii="Times New Roman" w:hAnsi="Times New Roman" w:cs="Times New Roman"/>
          <w:b/>
          <w:i/>
          <w:sz w:val="36"/>
          <w:szCs w:val="24"/>
        </w:rPr>
        <w:t>There is good news</w:t>
      </w:r>
      <w:r w:rsidRPr="0009609F">
        <w:rPr>
          <w:rFonts w:ascii="Times New Roman" w:hAnsi="Times New Roman" w:cs="Times New Roman"/>
          <w:sz w:val="36"/>
          <w:szCs w:val="24"/>
        </w:rPr>
        <w:t xml:space="preserve"> </w:t>
      </w:r>
      <w:r>
        <w:rPr>
          <w:rFonts w:ascii="Times New Roman" w:hAnsi="Times New Roman" w:cs="Times New Roman"/>
          <w:sz w:val="24"/>
          <w:szCs w:val="24"/>
        </w:rPr>
        <w:t>as you will hear shortly from Lisa Lassiter from Vidant Health in th</w:t>
      </w:r>
      <w:r w:rsidR="00660C8A">
        <w:rPr>
          <w:rFonts w:ascii="Times New Roman" w:hAnsi="Times New Roman" w:cs="Times New Roman"/>
          <w:sz w:val="24"/>
          <w:szCs w:val="24"/>
        </w:rPr>
        <w:t>e growing health care sector. However,</w:t>
      </w:r>
      <w:r>
        <w:rPr>
          <w:rFonts w:ascii="Times New Roman" w:hAnsi="Times New Roman" w:cs="Times New Roman"/>
          <w:sz w:val="24"/>
          <w:szCs w:val="24"/>
        </w:rPr>
        <w:t xml:space="preserve"> before I turn it over to her, I wo</w:t>
      </w:r>
      <w:r w:rsidR="001B5469">
        <w:rPr>
          <w:rFonts w:ascii="Times New Roman" w:hAnsi="Times New Roman" w:cs="Times New Roman"/>
          <w:sz w:val="24"/>
          <w:szCs w:val="24"/>
        </w:rPr>
        <w:t>uld like to show you a deeper</w:t>
      </w:r>
      <w:r>
        <w:rPr>
          <w:rFonts w:ascii="Times New Roman" w:hAnsi="Times New Roman" w:cs="Times New Roman"/>
          <w:sz w:val="24"/>
          <w:szCs w:val="24"/>
        </w:rPr>
        <w:t xml:space="preserve"> look that illustrate</w:t>
      </w:r>
      <w:r w:rsidR="001B5469">
        <w:rPr>
          <w:rFonts w:ascii="Times New Roman" w:hAnsi="Times New Roman" w:cs="Times New Roman"/>
          <w:sz w:val="24"/>
          <w:szCs w:val="24"/>
        </w:rPr>
        <w:t>s</w:t>
      </w:r>
      <w:r>
        <w:rPr>
          <w:rFonts w:ascii="Times New Roman" w:hAnsi="Times New Roman" w:cs="Times New Roman"/>
          <w:sz w:val="24"/>
          <w:szCs w:val="24"/>
        </w:rPr>
        <w:t xml:space="preserve"> what is on the horizon for the Manufacturing Sector and more </w:t>
      </w:r>
      <w:r w:rsidR="00660C8A">
        <w:rPr>
          <w:rFonts w:ascii="Times New Roman" w:hAnsi="Times New Roman" w:cs="Times New Roman"/>
          <w:sz w:val="24"/>
          <w:szCs w:val="24"/>
        </w:rPr>
        <w:t>specifically</w:t>
      </w:r>
      <w:r>
        <w:rPr>
          <w:rFonts w:ascii="Times New Roman" w:hAnsi="Times New Roman" w:cs="Times New Roman"/>
          <w:sz w:val="24"/>
          <w:szCs w:val="24"/>
        </w:rPr>
        <w:t xml:space="preserve"> the </w:t>
      </w:r>
      <w:r w:rsidRPr="001B5469">
        <w:rPr>
          <w:rFonts w:ascii="Times New Roman" w:hAnsi="Times New Roman" w:cs="Times New Roman"/>
          <w:i/>
          <w:sz w:val="24"/>
          <w:szCs w:val="24"/>
        </w:rPr>
        <w:t>Advanced Manufacturing Sector</w:t>
      </w:r>
      <w:r>
        <w:rPr>
          <w:rFonts w:ascii="Times New Roman" w:hAnsi="Times New Roman" w:cs="Times New Roman"/>
          <w:sz w:val="24"/>
          <w:szCs w:val="24"/>
        </w:rPr>
        <w:t xml:space="preserve">.  </w:t>
      </w:r>
    </w:p>
    <w:p w:rsidR="008A56C2" w:rsidRPr="008A56C2" w:rsidRDefault="008A56C2" w:rsidP="008A56C2"/>
    <w:tbl>
      <w:tblPr>
        <w:tblW w:w="8550" w:type="dxa"/>
        <w:tblCellMar>
          <w:left w:w="0" w:type="dxa"/>
          <w:right w:w="0" w:type="dxa"/>
        </w:tblCellMar>
        <w:tblLook w:val="04A0" w:firstRow="1" w:lastRow="0" w:firstColumn="1" w:lastColumn="0" w:noHBand="0" w:noVBand="1"/>
      </w:tblPr>
      <w:tblGrid>
        <w:gridCol w:w="960"/>
        <w:gridCol w:w="3520"/>
        <w:gridCol w:w="960"/>
        <w:gridCol w:w="960"/>
        <w:gridCol w:w="960"/>
        <w:gridCol w:w="1190"/>
      </w:tblGrid>
      <w:tr w:rsidR="00642E25" w:rsidTr="00470C78">
        <w:trPr>
          <w:trHeight w:val="750"/>
        </w:trPr>
        <w:tc>
          <w:tcPr>
            <w:tcW w:w="960" w:type="dxa"/>
            <w:shd w:val="clear" w:color="auto" w:fill="204354"/>
            <w:tcMar>
              <w:top w:w="15" w:type="dxa"/>
              <w:left w:w="15" w:type="dxa"/>
              <w:bottom w:w="0" w:type="dxa"/>
              <w:right w:w="15" w:type="dxa"/>
            </w:tcMar>
            <w:vAlign w:val="center"/>
            <w:hideMark/>
          </w:tcPr>
          <w:p w:rsidR="00642E25" w:rsidRDefault="00642E25">
            <w:pPr>
              <w:rPr>
                <w:rFonts w:ascii="Arial" w:hAnsi="Arial" w:cs="Arial"/>
                <w:color w:val="FFFFFF"/>
                <w:sz w:val="20"/>
                <w:szCs w:val="20"/>
              </w:rPr>
            </w:pPr>
            <w:r>
              <w:rPr>
                <w:rFonts w:ascii="Arial" w:hAnsi="Arial" w:cs="Arial"/>
                <w:color w:val="FFFFFF"/>
                <w:sz w:val="20"/>
                <w:szCs w:val="20"/>
              </w:rPr>
              <w:t>NAICS</w:t>
            </w:r>
          </w:p>
        </w:tc>
        <w:tc>
          <w:tcPr>
            <w:tcW w:w="3520" w:type="dxa"/>
            <w:shd w:val="clear" w:color="auto" w:fill="204354"/>
            <w:tcMar>
              <w:top w:w="15" w:type="dxa"/>
              <w:left w:w="15" w:type="dxa"/>
              <w:bottom w:w="0" w:type="dxa"/>
              <w:right w:w="15" w:type="dxa"/>
            </w:tcMar>
            <w:vAlign w:val="center"/>
            <w:hideMark/>
          </w:tcPr>
          <w:p w:rsidR="00642E25" w:rsidRDefault="00642E25">
            <w:pPr>
              <w:rPr>
                <w:rFonts w:ascii="Arial" w:hAnsi="Arial" w:cs="Arial"/>
                <w:color w:val="FFFFFF"/>
                <w:sz w:val="20"/>
                <w:szCs w:val="20"/>
              </w:rPr>
            </w:pPr>
            <w:r>
              <w:rPr>
                <w:rFonts w:ascii="Arial" w:hAnsi="Arial" w:cs="Arial"/>
                <w:color w:val="FFFFFF"/>
                <w:sz w:val="20"/>
                <w:szCs w:val="20"/>
              </w:rPr>
              <w:t>Description</w:t>
            </w:r>
          </w:p>
        </w:tc>
        <w:tc>
          <w:tcPr>
            <w:tcW w:w="960" w:type="dxa"/>
            <w:shd w:val="clear" w:color="auto" w:fill="204354"/>
            <w:tcMar>
              <w:top w:w="15" w:type="dxa"/>
              <w:left w:w="15" w:type="dxa"/>
              <w:bottom w:w="0" w:type="dxa"/>
              <w:right w:w="15" w:type="dxa"/>
            </w:tcMar>
            <w:vAlign w:val="center"/>
            <w:hideMark/>
          </w:tcPr>
          <w:p w:rsidR="00642E25" w:rsidRDefault="00642E25">
            <w:pPr>
              <w:jc w:val="right"/>
              <w:rPr>
                <w:rFonts w:ascii="Arial" w:hAnsi="Arial" w:cs="Arial"/>
                <w:color w:val="FFFFFF"/>
                <w:sz w:val="20"/>
                <w:szCs w:val="20"/>
              </w:rPr>
            </w:pPr>
            <w:r>
              <w:rPr>
                <w:rFonts w:ascii="Arial" w:hAnsi="Arial" w:cs="Arial"/>
                <w:color w:val="FFFFFF"/>
                <w:sz w:val="20"/>
                <w:szCs w:val="20"/>
              </w:rPr>
              <w:t>2004 Jobs</w:t>
            </w:r>
          </w:p>
        </w:tc>
        <w:tc>
          <w:tcPr>
            <w:tcW w:w="960" w:type="dxa"/>
            <w:shd w:val="clear" w:color="auto" w:fill="204354"/>
            <w:tcMar>
              <w:top w:w="15" w:type="dxa"/>
              <w:left w:w="15" w:type="dxa"/>
              <w:bottom w:w="0" w:type="dxa"/>
              <w:right w:w="15" w:type="dxa"/>
            </w:tcMar>
            <w:vAlign w:val="center"/>
            <w:hideMark/>
          </w:tcPr>
          <w:p w:rsidR="00642E25" w:rsidRDefault="00642E25">
            <w:pPr>
              <w:jc w:val="right"/>
              <w:rPr>
                <w:rFonts w:ascii="Arial" w:hAnsi="Arial" w:cs="Arial"/>
                <w:color w:val="FFFFFF"/>
                <w:sz w:val="20"/>
                <w:szCs w:val="20"/>
              </w:rPr>
            </w:pPr>
            <w:r>
              <w:rPr>
                <w:rFonts w:ascii="Arial" w:hAnsi="Arial" w:cs="Arial"/>
                <w:color w:val="FFFFFF"/>
                <w:sz w:val="20"/>
                <w:szCs w:val="20"/>
              </w:rPr>
              <w:t>2019 Jobs</w:t>
            </w:r>
          </w:p>
        </w:tc>
        <w:tc>
          <w:tcPr>
            <w:tcW w:w="960" w:type="dxa"/>
            <w:shd w:val="clear" w:color="auto" w:fill="204354"/>
            <w:tcMar>
              <w:top w:w="15" w:type="dxa"/>
              <w:left w:w="15" w:type="dxa"/>
              <w:bottom w:w="0" w:type="dxa"/>
              <w:right w:w="15" w:type="dxa"/>
            </w:tcMar>
            <w:vAlign w:val="center"/>
            <w:hideMark/>
          </w:tcPr>
          <w:p w:rsidR="00642E25" w:rsidRDefault="00642E25">
            <w:pPr>
              <w:jc w:val="right"/>
              <w:rPr>
                <w:rFonts w:ascii="Arial" w:hAnsi="Arial" w:cs="Arial"/>
                <w:color w:val="FFFFFF"/>
                <w:sz w:val="20"/>
                <w:szCs w:val="20"/>
              </w:rPr>
            </w:pPr>
            <w:r>
              <w:rPr>
                <w:rFonts w:ascii="Arial" w:hAnsi="Arial" w:cs="Arial"/>
                <w:color w:val="FFFFFF"/>
                <w:sz w:val="20"/>
                <w:szCs w:val="20"/>
              </w:rPr>
              <w:t>2004 - 2019 Change</w:t>
            </w:r>
          </w:p>
        </w:tc>
        <w:tc>
          <w:tcPr>
            <w:tcW w:w="1190" w:type="dxa"/>
            <w:shd w:val="clear" w:color="auto" w:fill="204354"/>
            <w:tcMar>
              <w:top w:w="15" w:type="dxa"/>
              <w:left w:w="15" w:type="dxa"/>
              <w:bottom w:w="0" w:type="dxa"/>
              <w:right w:w="15" w:type="dxa"/>
            </w:tcMar>
            <w:vAlign w:val="center"/>
            <w:hideMark/>
          </w:tcPr>
          <w:p w:rsidR="00642E25" w:rsidRDefault="00642E25">
            <w:pPr>
              <w:jc w:val="right"/>
              <w:rPr>
                <w:rFonts w:ascii="Arial" w:hAnsi="Arial" w:cs="Arial"/>
                <w:color w:val="FFFFFF"/>
                <w:sz w:val="20"/>
                <w:szCs w:val="20"/>
              </w:rPr>
            </w:pPr>
            <w:r>
              <w:rPr>
                <w:rFonts w:ascii="Arial" w:hAnsi="Arial" w:cs="Arial"/>
                <w:color w:val="FFFFFF"/>
                <w:sz w:val="20"/>
                <w:szCs w:val="20"/>
              </w:rPr>
              <w:t>2004 - 2019 % Change</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325412</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Pharmaceutical Preparation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916</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1,931</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1,015</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111%</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311911</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Roasted Nuts and Peanut Butter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190</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706</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516</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272%</w:t>
            </w:r>
          </w:p>
        </w:tc>
      </w:tr>
      <w:tr w:rsidR="00642E25" w:rsidTr="00470C78">
        <w:trPr>
          <w:trHeight w:val="25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322110</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Pulp Mills</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52</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456</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404</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777%</w:t>
            </w:r>
          </w:p>
        </w:tc>
      </w:tr>
      <w:tr w:rsidR="00642E25" w:rsidTr="00470C78">
        <w:trPr>
          <w:trHeight w:val="10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334513</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Instruments and Related Products Manufacturing for Measuring, Displaying, and Controlling Industrial Process Variables</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403</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403</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Insf. Data</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336390</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Other Motor Vehicle Parts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294</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623</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329</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112%</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311999</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All Other Miscellaneous Food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99</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375</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276</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279%</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lastRenderedPageBreak/>
              <w:t>325320</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Pesticide and Other Agricultural Chemical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48</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277</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229</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477%</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331110</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Iron and Steel Mills and Ferroalloy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398</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538</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140</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35%</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325220</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Artificial and Synthetic Fibers and Filaments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19</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145</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126</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663%</w:t>
            </w:r>
          </w:p>
        </w:tc>
      </w:tr>
      <w:tr w:rsidR="00642E25" w:rsidTr="00470C78">
        <w:trPr>
          <w:trHeight w:val="50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321213</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Engineered Wood Member (except Truss)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14</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136</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122</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871%</w:t>
            </w:r>
          </w:p>
        </w:tc>
      </w:tr>
      <w:tr w:rsidR="00642E25" w:rsidTr="00470C78">
        <w:trPr>
          <w:trHeight w:val="250"/>
        </w:trPr>
        <w:tc>
          <w:tcPr>
            <w:tcW w:w="0" w:type="auto"/>
            <w:noWrap/>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335312</w:t>
            </w:r>
          </w:p>
        </w:tc>
        <w:tc>
          <w:tcPr>
            <w:tcW w:w="3520" w:type="dxa"/>
            <w:tcMar>
              <w:top w:w="15" w:type="dxa"/>
              <w:left w:w="15" w:type="dxa"/>
              <w:bottom w:w="0" w:type="dxa"/>
              <w:right w:w="15" w:type="dxa"/>
            </w:tcMar>
            <w:vAlign w:val="center"/>
            <w:hideMark/>
          </w:tcPr>
          <w:p w:rsidR="00642E25" w:rsidRDefault="00642E25">
            <w:pPr>
              <w:rPr>
                <w:rFonts w:ascii="Arial" w:hAnsi="Arial" w:cs="Arial"/>
                <w:sz w:val="20"/>
                <w:szCs w:val="20"/>
              </w:rPr>
            </w:pPr>
            <w:r>
              <w:rPr>
                <w:rFonts w:ascii="Arial" w:hAnsi="Arial" w:cs="Arial"/>
                <w:sz w:val="20"/>
                <w:szCs w:val="20"/>
              </w:rPr>
              <w:t>Motor and Generator Manufacturing</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33</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153</w:t>
            </w:r>
          </w:p>
        </w:tc>
        <w:tc>
          <w:tcPr>
            <w:tcW w:w="0" w:type="auto"/>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120</w:t>
            </w:r>
          </w:p>
        </w:tc>
        <w:tc>
          <w:tcPr>
            <w:tcW w:w="1190" w:type="dxa"/>
            <w:noWrap/>
            <w:tcMar>
              <w:top w:w="15" w:type="dxa"/>
              <w:left w:w="15" w:type="dxa"/>
              <w:bottom w:w="0" w:type="dxa"/>
              <w:right w:w="15" w:type="dxa"/>
            </w:tcMar>
            <w:vAlign w:val="center"/>
            <w:hideMark/>
          </w:tcPr>
          <w:p w:rsidR="00642E25" w:rsidRDefault="00642E25">
            <w:pPr>
              <w:jc w:val="right"/>
              <w:rPr>
                <w:rFonts w:ascii="Arial" w:hAnsi="Arial" w:cs="Arial"/>
                <w:sz w:val="20"/>
                <w:szCs w:val="20"/>
              </w:rPr>
            </w:pPr>
            <w:r>
              <w:rPr>
                <w:rFonts w:ascii="Arial" w:hAnsi="Arial" w:cs="Arial"/>
                <w:sz w:val="20"/>
                <w:szCs w:val="20"/>
              </w:rPr>
              <w:t>364%</w:t>
            </w:r>
          </w:p>
        </w:tc>
      </w:tr>
    </w:tbl>
    <w:p w:rsidR="00DD1969" w:rsidRDefault="00DD1969" w:rsidP="008A56C2"/>
    <w:p w:rsidR="00127F09" w:rsidRDefault="00DD1969" w:rsidP="00E53DA1">
      <w:pPr>
        <w:spacing w:line="480" w:lineRule="auto"/>
      </w:pPr>
      <w:r>
        <w:t xml:space="preserve">Conversely, the </w:t>
      </w:r>
      <w:r w:rsidR="0009609F">
        <w:t>Advanced M</w:t>
      </w:r>
      <w:r>
        <w:t xml:space="preserve">anufacturing </w:t>
      </w:r>
      <w:r w:rsidR="0009609F">
        <w:t>Sector has</w:t>
      </w:r>
      <w:r>
        <w:t xml:space="preserve"> experienced quite a bi</w:t>
      </w:r>
      <w:r w:rsidR="00127F09">
        <w:t xml:space="preserve">t of growth over the projected </w:t>
      </w:r>
      <w:r>
        <w:t xml:space="preserve">reference period. Perhaps unsurprisingly, they are generally </w:t>
      </w:r>
      <w:r w:rsidR="00127F09">
        <w:t xml:space="preserve">jobs that are </w:t>
      </w:r>
      <w:r w:rsidRPr="001B5469">
        <w:rPr>
          <w:i/>
        </w:rPr>
        <w:t xml:space="preserve">utilizing high </w:t>
      </w:r>
      <w:r w:rsidR="00A66991" w:rsidRPr="001B5469">
        <w:rPr>
          <w:i/>
        </w:rPr>
        <w:t>level</w:t>
      </w:r>
      <w:r w:rsidR="00A66991">
        <w:rPr>
          <w:i/>
        </w:rPr>
        <w:t>s</w:t>
      </w:r>
      <w:r w:rsidRPr="001B5469">
        <w:rPr>
          <w:i/>
        </w:rPr>
        <w:t xml:space="preserve"> </w:t>
      </w:r>
      <w:r w:rsidR="00A66991">
        <w:rPr>
          <w:i/>
        </w:rPr>
        <w:t xml:space="preserve">of </w:t>
      </w:r>
      <w:r w:rsidRPr="001B5469">
        <w:rPr>
          <w:i/>
        </w:rPr>
        <w:t>technology</w:t>
      </w:r>
      <w:r w:rsidR="001B5469">
        <w:t xml:space="preserve"> </w:t>
      </w:r>
      <w:r w:rsidR="001B5469" w:rsidRPr="001B5469">
        <w:rPr>
          <w:i/>
        </w:rPr>
        <w:t>and materials</w:t>
      </w:r>
      <w:r w:rsidR="00127F09">
        <w:t xml:space="preserve">, with requirements that the workforce </w:t>
      </w:r>
      <w:r>
        <w:t>possess higher level</w:t>
      </w:r>
      <w:r w:rsidR="00127F09">
        <w:t xml:space="preserve">s of skills to succeed in this High-Growth Industry Sector. </w:t>
      </w:r>
      <w:r w:rsidR="00343B2E">
        <w:t>These modern and emerging</w:t>
      </w:r>
      <w:r>
        <w:t xml:space="preserve"> technologies include many </w:t>
      </w:r>
      <w:r w:rsidR="00343B2E">
        <w:t>brand-</w:t>
      </w:r>
      <w:r>
        <w:t xml:space="preserve">new forms of automation that did not exist before the Great Recession and have recently </w:t>
      </w:r>
      <w:r w:rsidR="003B2138">
        <w:t xml:space="preserve">become more prominent with larger upscale industries. </w:t>
      </w:r>
      <w:r w:rsidR="00127F09">
        <w:t xml:space="preserve">This also </w:t>
      </w:r>
      <w:r w:rsidR="009356BC">
        <w:t xml:space="preserve">sets the </w:t>
      </w:r>
      <w:r w:rsidR="008E635E">
        <w:t>emergent</w:t>
      </w:r>
      <w:r w:rsidR="001B5469">
        <w:t xml:space="preserve"> and existing </w:t>
      </w:r>
      <w:r w:rsidR="009356BC">
        <w:t>workforce up for learning new skills associated with mainta</w:t>
      </w:r>
      <w:r w:rsidR="008E635E">
        <w:t>ining these high-end technology-</w:t>
      </w:r>
      <w:r w:rsidR="009356BC">
        <w:t>driven businesses. It will require a more in-depth look at the training and collaboration with employers to ensure that our par</w:t>
      </w:r>
      <w:r w:rsidR="00127F09">
        <w:t xml:space="preserve">tners are delivering what </w:t>
      </w:r>
      <w:r w:rsidR="009356BC">
        <w:t>empl</w:t>
      </w:r>
      <w:r w:rsidR="00127F09">
        <w:t xml:space="preserve">oyers expect. The former ways used to develop curriculum </w:t>
      </w:r>
      <w:r w:rsidR="009356BC">
        <w:t>ma</w:t>
      </w:r>
      <w:r w:rsidR="00343B2E">
        <w:t>y change based o</w:t>
      </w:r>
      <w:r w:rsidR="00127F09">
        <w:t xml:space="preserve">n </w:t>
      </w:r>
      <w:r w:rsidR="00343B2E">
        <w:t>employer</w:t>
      </w:r>
      <w:r w:rsidR="009356BC">
        <w:t xml:space="preserve"> need</w:t>
      </w:r>
      <w:r w:rsidR="00127F09">
        <w:t>s</w:t>
      </w:r>
      <w:r w:rsidR="009356BC">
        <w:t xml:space="preserve">. Core competencies may stay the same, but the technical skills </w:t>
      </w:r>
      <w:r w:rsidR="008E635E">
        <w:t>wil</w:t>
      </w:r>
      <w:r w:rsidR="00343B2E">
        <w:t>l require more concentrated job-</w:t>
      </w:r>
      <w:r w:rsidR="008E635E">
        <w:t xml:space="preserve">specific skills </w:t>
      </w:r>
      <w:r w:rsidR="00343B2E">
        <w:t xml:space="preserve">training </w:t>
      </w:r>
      <w:r w:rsidR="009356BC">
        <w:t xml:space="preserve">than we have seen in many years. </w:t>
      </w:r>
      <w:r w:rsidR="00127F09">
        <w:t xml:space="preserve">It is very likely some employers have not identified the new technology driving their industries and will depend on our training system to help navigate options to plan for the future. This will require greater collaboration between partner agencies to address employer needs. </w:t>
      </w:r>
    </w:p>
    <w:p w:rsidR="00127F09" w:rsidRDefault="00127F09">
      <w:r>
        <w:br w:type="page"/>
      </w:r>
    </w:p>
    <w:p w:rsidR="009356BC" w:rsidRDefault="009356BC" w:rsidP="00E53DA1">
      <w:pPr>
        <w:spacing w:line="480" w:lineRule="auto"/>
      </w:pPr>
    </w:p>
    <w:p w:rsidR="008A56C2" w:rsidRDefault="009356BC" w:rsidP="00E53DA1">
      <w:pPr>
        <w:spacing w:line="480" w:lineRule="auto"/>
      </w:pPr>
      <w:r>
        <w:t xml:space="preserve">The Convergence from old manufacturing </w:t>
      </w:r>
      <w:r w:rsidR="00127F09">
        <w:t xml:space="preserve">or legacy industry sectors </w:t>
      </w:r>
      <w:r>
        <w:t>to new higher technology</w:t>
      </w:r>
      <w:r w:rsidR="008E635E">
        <w:t>-driven</w:t>
      </w:r>
      <w:r>
        <w:t xml:space="preserve"> manufacturing </w:t>
      </w:r>
      <w:r w:rsidR="00127F09">
        <w:t xml:space="preserve">or advanced manufacturing </w:t>
      </w:r>
      <w:r>
        <w:t xml:space="preserve">is </w:t>
      </w:r>
      <w:r w:rsidR="00E53DA1">
        <w:t>upon</w:t>
      </w:r>
      <w:r>
        <w:t xml:space="preserve"> us now, and waiti</w:t>
      </w:r>
      <w:r w:rsidR="00F205B6">
        <w:t>ng to catch up is not an option</w:t>
      </w:r>
      <w:r w:rsidR="00343B2E">
        <w:t xml:space="preserve">. </w:t>
      </w:r>
      <w:r w:rsidR="00F205B6">
        <w:t>There are conversations that need to happen now to plan and</w:t>
      </w:r>
      <w:r>
        <w:t xml:space="preserve"> fund </w:t>
      </w:r>
      <w:r w:rsidR="00F205B6">
        <w:t xml:space="preserve">the training for </w:t>
      </w:r>
      <w:r>
        <w:t xml:space="preserve">these </w:t>
      </w:r>
      <w:r w:rsidR="008E635E">
        <w:t xml:space="preserve">emergent </w:t>
      </w:r>
      <w:r>
        <w:t>occupations</w:t>
      </w:r>
      <w:r w:rsidR="00F205B6">
        <w:t>,</w:t>
      </w:r>
      <w:r w:rsidR="00127F09">
        <w:t xml:space="preserve"> and</w:t>
      </w:r>
      <w:r w:rsidR="00F205B6">
        <w:t xml:space="preserve"> </w:t>
      </w:r>
      <w:r>
        <w:t>quick concept</w:t>
      </w:r>
      <w:r w:rsidR="00127F09">
        <w:t xml:space="preserve"> </w:t>
      </w:r>
      <w:r w:rsidR="00096144">
        <w:t>t</w:t>
      </w:r>
      <w:r w:rsidR="00F44FCF">
        <w:t>00</w:t>
      </w:r>
      <w:r w:rsidR="00096144">
        <w:t>raining</w:t>
      </w:r>
      <w:r w:rsidR="00F205B6">
        <w:t xml:space="preserve"> will not satisfy employer needs</w:t>
      </w:r>
      <w:r>
        <w:t xml:space="preserve">. </w:t>
      </w:r>
      <w:r w:rsidR="00F67CAD">
        <w:t>However, a</w:t>
      </w:r>
      <w:r>
        <w:t xml:space="preserve">ligning </w:t>
      </w:r>
      <w:r w:rsidR="00F205B6">
        <w:t xml:space="preserve">foundational skills found on the job with </w:t>
      </w:r>
      <w:r w:rsidR="00096144">
        <w:t>the K-12 system</w:t>
      </w:r>
      <w:r w:rsidR="00F205B6">
        <w:t xml:space="preserve">s core curriculum will help transition workers into </w:t>
      </w:r>
      <w:r w:rsidR="00F67CAD">
        <w:t xml:space="preserve">high-growth industry sectors with greater success, and employer satisfaction. The emergent occupations will require a greater </w:t>
      </w:r>
      <w:r w:rsidR="00306CF0">
        <w:t>competency</w:t>
      </w:r>
      <w:r w:rsidR="00F67CAD">
        <w:t xml:space="preserve"> in </w:t>
      </w:r>
      <w:r w:rsidR="00F67CAD" w:rsidRPr="001B6F1E">
        <w:t xml:space="preserve">workplace documents, </w:t>
      </w:r>
      <w:r w:rsidR="00306CF0" w:rsidRPr="001B6F1E">
        <w:t xml:space="preserve">graphic literacy, </w:t>
      </w:r>
      <w:r w:rsidR="00F67CAD" w:rsidRPr="001B6F1E">
        <w:t>and applied mathematics</w:t>
      </w:r>
      <w:r w:rsidR="00306CF0">
        <w:t>. These foundational skills will</w:t>
      </w:r>
      <w:r w:rsidR="00F67CAD">
        <w:t xml:space="preserve"> be used as qualifiers </w:t>
      </w:r>
      <w:r w:rsidR="00306CF0">
        <w:t xml:space="preserve">for </w:t>
      </w:r>
      <w:r w:rsidR="00F67CAD">
        <w:t xml:space="preserve">entry into a job.  Furthermore, a greater collaboration with employers will </w:t>
      </w:r>
      <w:r>
        <w:t xml:space="preserve">reveal where </w:t>
      </w:r>
      <w:r w:rsidR="00F67CAD">
        <w:t xml:space="preserve">our systems should focus </w:t>
      </w:r>
      <w:r>
        <w:t xml:space="preserve">to provide </w:t>
      </w:r>
      <w:r w:rsidR="00306CF0">
        <w:t xml:space="preserve">a </w:t>
      </w:r>
      <w:r w:rsidR="00F67CAD">
        <w:t xml:space="preserve">more concentrated </w:t>
      </w:r>
      <w:r w:rsidR="00306CF0">
        <w:t xml:space="preserve">job-specific </w:t>
      </w:r>
      <w:r>
        <w:t>skills training</w:t>
      </w:r>
      <w:r w:rsidR="00306CF0">
        <w:t xml:space="preserve"> to ensure job seekers keep a job</w:t>
      </w:r>
      <w:r>
        <w:t xml:space="preserve">. There as several ways to accomplish this </w:t>
      </w:r>
      <w:r w:rsidR="00096144">
        <w:t xml:space="preserve">and one is to continue the perpetuation of the National Career Readiness Certifications from the K-12 Education System, and promote job profiling to determine the needed skills sets while in the job. </w:t>
      </w:r>
      <w:r w:rsidR="00306CF0">
        <w:t xml:space="preserve">It is a proven fact that those who demonstrate </w:t>
      </w:r>
      <w:r w:rsidR="00F44FCF">
        <w:t xml:space="preserve">adequate </w:t>
      </w:r>
      <w:r w:rsidR="00306CF0">
        <w:t xml:space="preserve">foundational skills </w:t>
      </w:r>
      <w:r w:rsidR="00F44FCF">
        <w:t>competencies</w:t>
      </w:r>
      <w:r w:rsidR="001B6F1E">
        <w:t xml:space="preserve"> </w:t>
      </w:r>
      <w:r w:rsidR="00306CF0">
        <w:t>are more likely to stay in a job and be promoted while on the job.</w:t>
      </w:r>
    </w:p>
    <w:p w:rsidR="006C1C7E" w:rsidRDefault="00306CF0" w:rsidP="00E53DA1">
      <w:pPr>
        <w:spacing w:line="480" w:lineRule="auto"/>
      </w:pPr>
      <w:r>
        <w:t xml:space="preserve">The challenge </w:t>
      </w:r>
      <w:r w:rsidR="00EA7475">
        <w:t xml:space="preserve">for our region is to be ready </w:t>
      </w:r>
      <w:r w:rsidR="00356F81">
        <w:t>f</w:t>
      </w:r>
      <w:r w:rsidR="006C1C7E">
        <w:t xml:space="preserve">or the projected </w:t>
      </w:r>
      <w:r w:rsidR="00EA7475">
        <w:t xml:space="preserve">job </w:t>
      </w:r>
      <w:r w:rsidR="006C1C7E">
        <w:t>growth coming to the N</w:t>
      </w:r>
      <w:r w:rsidR="00AE5CFC">
        <w:t>ortheastern Prosperity Zone. H</w:t>
      </w:r>
      <w:r w:rsidR="00356F81">
        <w:t>ow we prepare</w:t>
      </w:r>
      <w:r w:rsidR="006C1C7E">
        <w:t xml:space="preserve"> </w:t>
      </w:r>
      <w:r w:rsidR="00E524E9">
        <w:t xml:space="preserve">for </w:t>
      </w:r>
      <w:r w:rsidR="006C1C7E">
        <w:t xml:space="preserve">this </w:t>
      </w:r>
      <w:r w:rsidR="00AE5CFC">
        <w:t xml:space="preserve">now </w:t>
      </w:r>
      <w:r w:rsidR="006C1C7E">
        <w:t xml:space="preserve">will determine the success of the region. </w:t>
      </w:r>
      <w:r w:rsidR="00AE5CFC">
        <w:t xml:space="preserve">There are over </w:t>
      </w:r>
      <w:r w:rsidR="006C1C7E">
        <w:t xml:space="preserve">five-thousand </w:t>
      </w:r>
      <w:r w:rsidR="00AE5CFC">
        <w:t xml:space="preserve">new </w:t>
      </w:r>
      <w:r w:rsidR="006C1C7E">
        <w:t xml:space="preserve">jobs </w:t>
      </w:r>
      <w:r w:rsidR="00356F81">
        <w:t xml:space="preserve">in advanced manufacturing alone </w:t>
      </w:r>
      <w:r w:rsidR="00AE5CFC">
        <w:t>projected</w:t>
      </w:r>
      <w:r w:rsidR="00EA7475">
        <w:t xml:space="preserve"> in the next 2</w:t>
      </w:r>
      <w:r w:rsidR="006C1C7E">
        <w:t xml:space="preserve">-5 years, with </w:t>
      </w:r>
      <w:r w:rsidR="00AE5CFC">
        <w:t xml:space="preserve">over half of those jobs expected to arrive in </w:t>
      </w:r>
      <w:r w:rsidR="006C1C7E">
        <w:t xml:space="preserve">2020. </w:t>
      </w:r>
      <w:r w:rsidR="00356F81">
        <w:t xml:space="preserve">This does not include other high-growth industry sectors that are growing rapidly like Health Care, and Business Supportive Services. </w:t>
      </w:r>
      <w:bookmarkStart w:id="0" w:name="_GoBack"/>
      <w:bookmarkEnd w:id="0"/>
    </w:p>
    <w:p w:rsidR="0090236F" w:rsidRPr="00356F81" w:rsidRDefault="0090236F" w:rsidP="00E53DA1">
      <w:pPr>
        <w:spacing w:line="480" w:lineRule="auto"/>
        <w:rPr>
          <w:b/>
        </w:rPr>
      </w:pPr>
      <w:r w:rsidRPr="00356F81">
        <w:rPr>
          <w:b/>
        </w:rPr>
        <w:t xml:space="preserve">Now for the better news from Lisa. </w:t>
      </w:r>
    </w:p>
    <w:sectPr w:rsidR="0090236F" w:rsidRPr="0035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2D"/>
    <w:rsid w:val="0009609F"/>
    <w:rsid w:val="00096144"/>
    <w:rsid w:val="000B1DA1"/>
    <w:rsid w:val="00127F09"/>
    <w:rsid w:val="001B5469"/>
    <w:rsid w:val="001B6F1E"/>
    <w:rsid w:val="001D79EB"/>
    <w:rsid w:val="00306CF0"/>
    <w:rsid w:val="00343B2E"/>
    <w:rsid w:val="00356F81"/>
    <w:rsid w:val="003B2138"/>
    <w:rsid w:val="00470C78"/>
    <w:rsid w:val="0056025C"/>
    <w:rsid w:val="005F755B"/>
    <w:rsid w:val="00642E25"/>
    <w:rsid w:val="00660C8A"/>
    <w:rsid w:val="006A74EA"/>
    <w:rsid w:val="006C1C7E"/>
    <w:rsid w:val="008A56C2"/>
    <w:rsid w:val="008E635E"/>
    <w:rsid w:val="0090236F"/>
    <w:rsid w:val="009356BC"/>
    <w:rsid w:val="00A66991"/>
    <w:rsid w:val="00AE5CFC"/>
    <w:rsid w:val="00B546FF"/>
    <w:rsid w:val="00C35A47"/>
    <w:rsid w:val="00CC7857"/>
    <w:rsid w:val="00D82BC7"/>
    <w:rsid w:val="00DD1969"/>
    <w:rsid w:val="00E524E9"/>
    <w:rsid w:val="00E53DA1"/>
    <w:rsid w:val="00EA7475"/>
    <w:rsid w:val="00EE22E8"/>
    <w:rsid w:val="00F205B6"/>
    <w:rsid w:val="00F2112D"/>
    <w:rsid w:val="00F44FCF"/>
    <w:rsid w:val="00F6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EEA8"/>
  <w15:chartTrackingRefBased/>
  <w15:docId w15:val="{89AC8CCD-4676-472A-AB0E-C90E5CA0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2D"/>
  </w:style>
  <w:style w:type="paragraph" w:styleId="Heading1">
    <w:name w:val="heading 1"/>
    <w:basedOn w:val="Normal"/>
    <w:next w:val="Normal"/>
    <w:link w:val="Heading1Char"/>
    <w:uiPriority w:val="9"/>
    <w:qFormat/>
    <w:rsid w:val="00F2112D"/>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F2112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2112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2112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2112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2112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2112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2112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2112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2D"/>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F2112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2112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2112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2112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2112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2112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2112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2112D"/>
    <w:rPr>
      <w:b/>
      <w:bCs/>
      <w:i/>
      <w:iCs/>
    </w:rPr>
  </w:style>
  <w:style w:type="paragraph" w:styleId="Caption">
    <w:name w:val="caption"/>
    <w:basedOn w:val="Normal"/>
    <w:next w:val="Normal"/>
    <w:uiPriority w:val="35"/>
    <w:semiHidden/>
    <w:unhideWhenUsed/>
    <w:qFormat/>
    <w:rsid w:val="00F2112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2112D"/>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F2112D"/>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F2112D"/>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F2112D"/>
    <w:rPr>
      <w:color w:val="2C3C43" w:themeColor="text2"/>
      <w:sz w:val="28"/>
      <w:szCs w:val="28"/>
    </w:rPr>
  </w:style>
  <w:style w:type="character" w:styleId="Strong">
    <w:name w:val="Strong"/>
    <w:basedOn w:val="DefaultParagraphFont"/>
    <w:uiPriority w:val="22"/>
    <w:qFormat/>
    <w:rsid w:val="00F2112D"/>
    <w:rPr>
      <w:b/>
      <w:bCs/>
    </w:rPr>
  </w:style>
  <w:style w:type="character" w:styleId="Emphasis">
    <w:name w:val="Emphasis"/>
    <w:basedOn w:val="DefaultParagraphFont"/>
    <w:uiPriority w:val="20"/>
    <w:qFormat/>
    <w:rsid w:val="00F2112D"/>
    <w:rPr>
      <w:i/>
      <w:iCs/>
      <w:color w:val="000000" w:themeColor="text1"/>
    </w:rPr>
  </w:style>
  <w:style w:type="paragraph" w:styleId="NoSpacing">
    <w:name w:val="No Spacing"/>
    <w:uiPriority w:val="1"/>
    <w:qFormat/>
    <w:rsid w:val="00F2112D"/>
    <w:pPr>
      <w:spacing w:after="0" w:line="240" w:lineRule="auto"/>
    </w:pPr>
  </w:style>
  <w:style w:type="paragraph" w:styleId="Quote">
    <w:name w:val="Quote"/>
    <w:basedOn w:val="Normal"/>
    <w:next w:val="Normal"/>
    <w:link w:val="QuoteChar"/>
    <w:uiPriority w:val="29"/>
    <w:qFormat/>
    <w:rsid w:val="00F2112D"/>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F2112D"/>
    <w:rPr>
      <w:i/>
      <w:iCs/>
      <w:color w:val="AF8B13" w:themeColor="accent3" w:themeShade="BF"/>
      <w:sz w:val="24"/>
      <w:szCs w:val="24"/>
    </w:rPr>
  </w:style>
  <w:style w:type="paragraph" w:styleId="IntenseQuote">
    <w:name w:val="Intense Quote"/>
    <w:basedOn w:val="Normal"/>
    <w:next w:val="Normal"/>
    <w:link w:val="IntenseQuoteChar"/>
    <w:uiPriority w:val="30"/>
    <w:qFormat/>
    <w:rsid w:val="00F2112D"/>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F2112D"/>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F2112D"/>
    <w:rPr>
      <w:i/>
      <w:iCs/>
      <w:color w:val="595959" w:themeColor="text1" w:themeTint="A6"/>
    </w:rPr>
  </w:style>
  <w:style w:type="character" w:styleId="IntenseEmphasis">
    <w:name w:val="Intense Emphasis"/>
    <w:basedOn w:val="DefaultParagraphFont"/>
    <w:uiPriority w:val="21"/>
    <w:qFormat/>
    <w:rsid w:val="00F2112D"/>
    <w:rPr>
      <w:b/>
      <w:bCs/>
      <w:i/>
      <w:iCs/>
      <w:color w:val="auto"/>
    </w:rPr>
  </w:style>
  <w:style w:type="character" w:styleId="SubtleReference">
    <w:name w:val="Subtle Reference"/>
    <w:basedOn w:val="DefaultParagraphFont"/>
    <w:uiPriority w:val="31"/>
    <w:qFormat/>
    <w:rsid w:val="00F211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112D"/>
    <w:rPr>
      <w:b/>
      <w:bCs/>
      <w:caps w:val="0"/>
      <w:smallCaps/>
      <w:color w:val="auto"/>
      <w:spacing w:val="0"/>
      <w:u w:val="single"/>
    </w:rPr>
  </w:style>
  <w:style w:type="character" w:styleId="BookTitle">
    <w:name w:val="Book Title"/>
    <w:basedOn w:val="DefaultParagraphFont"/>
    <w:uiPriority w:val="33"/>
    <w:qFormat/>
    <w:rsid w:val="00F2112D"/>
    <w:rPr>
      <w:b/>
      <w:bCs/>
      <w:caps w:val="0"/>
      <w:smallCaps/>
      <w:spacing w:val="0"/>
    </w:rPr>
  </w:style>
  <w:style w:type="paragraph" w:styleId="TOCHeading">
    <w:name w:val="TOC Heading"/>
    <w:basedOn w:val="Heading1"/>
    <w:next w:val="Normal"/>
    <w:uiPriority w:val="39"/>
    <w:semiHidden/>
    <w:unhideWhenUsed/>
    <w:qFormat/>
    <w:rsid w:val="00F211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1308">
      <w:bodyDiv w:val="1"/>
      <w:marLeft w:val="0"/>
      <w:marRight w:val="0"/>
      <w:marTop w:val="0"/>
      <w:marBottom w:val="0"/>
      <w:divBdr>
        <w:top w:val="none" w:sz="0" w:space="0" w:color="auto"/>
        <w:left w:val="none" w:sz="0" w:space="0" w:color="auto"/>
        <w:bottom w:val="none" w:sz="0" w:space="0" w:color="auto"/>
        <w:right w:val="none" w:sz="0" w:space="0" w:color="auto"/>
      </w:divBdr>
    </w:div>
    <w:div w:id="12598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jz8ugro00" TargetMode="External"/><Relationship Id="rId4"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Rollins</dc:creator>
  <cp:keywords/>
  <dc:description/>
  <cp:lastModifiedBy>Wayne Rollins</cp:lastModifiedBy>
  <cp:revision>13</cp:revision>
  <dcterms:created xsi:type="dcterms:W3CDTF">2019-09-26T17:49:00Z</dcterms:created>
  <dcterms:modified xsi:type="dcterms:W3CDTF">2019-09-30T16:33:00Z</dcterms:modified>
</cp:coreProperties>
</file>